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3AE" w:rsidRPr="00AD13AE" w:rsidRDefault="00AD13AE" w:rsidP="00AD13AE">
      <w:pPr>
        <w:jc w:val="center"/>
        <w:rPr>
          <w:b/>
          <w:sz w:val="28"/>
          <w:szCs w:val="28"/>
        </w:rPr>
      </w:pPr>
      <w:r w:rsidRPr="00AD13AE">
        <w:rPr>
          <w:b/>
          <w:sz w:val="28"/>
          <w:szCs w:val="28"/>
        </w:rPr>
        <w:t>BECEERİ ÖĞRETİM PROGRAMI SONUÇ RAPORU</w:t>
      </w:r>
    </w:p>
    <w:p w:rsidR="00D77589" w:rsidRDefault="00AD13AE">
      <w:r>
        <w:rPr>
          <w:noProof/>
          <w:lang w:eastAsia="tr-TR"/>
        </w:rPr>
        <w:drawing>
          <wp:inline distT="0" distB="0" distL="0" distR="0" wp14:anchorId="6A40D504" wp14:editId="14866659">
            <wp:extent cx="5760720" cy="3549770"/>
            <wp:effectExtent l="0" t="0" r="11430" b="1270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AD13AE" w:rsidRDefault="00AD13AE">
      <w:r>
        <w:rPr>
          <w:noProof/>
          <w:lang w:eastAsia="tr-TR"/>
        </w:rPr>
        <w:drawing>
          <wp:inline distT="0" distB="0" distL="0" distR="0" wp14:anchorId="06E4FABF" wp14:editId="7887E885">
            <wp:extent cx="5760720" cy="3549770"/>
            <wp:effectExtent l="0" t="0" r="11430" b="12700"/>
            <wp:docPr id="2" name="Grafik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D13AE" w:rsidRDefault="00AD13AE">
      <w:pPr>
        <w:rPr>
          <w:b/>
          <w:sz w:val="24"/>
          <w:szCs w:val="24"/>
        </w:rPr>
      </w:pPr>
      <w:r w:rsidRPr="00AD13AE">
        <w:rPr>
          <w:b/>
          <w:sz w:val="24"/>
          <w:szCs w:val="24"/>
        </w:rPr>
        <w:t>GRAFİK ÖZETİ</w:t>
      </w:r>
    </w:p>
    <w:p w:rsidR="00AD13AE" w:rsidRDefault="00596721">
      <w:pPr>
        <w:rPr>
          <w:sz w:val="24"/>
          <w:szCs w:val="24"/>
        </w:rPr>
      </w:pPr>
      <w:r>
        <w:rPr>
          <w:sz w:val="24"/>
          <w:szCs w:val="24"/>
        </w:rPr>
        <w:t xml:space="preserve">Grafikte bulunan ilk üç oturum başlama düzeyi verilerine aittir.  Beceri, öğrenci ile 4 hafta boyunca çalışılmıştır. Ders başlamadan önce ve ders sonunda öğrenciyle çalışılmıştır. </w:t>
      </w:r>
      <w:r>
        <w:rPr>
          <w:sz w:val="24"/>
          <w:szCs w:val="24"/>
        </w:rPr>
        <w:lastRenderedPageBreak/>
        <w:t>Beceriyle ilgili düğme büyüklükleri ve düğme şekillerine yönelik 4 hafta boyunca farklı düğmelerle çalışılmış fakat ö</w:t>
      </w:r>
      <w:r>
        <w:rPr>
          <w:sz w:val="24"/>
          <w:szCs w:val="24"/>
        </w:rPr>
        <w:t>ğrencinin beceride hedeflenen ölçütü karşılam</w:t>
      </w:r>
      <w:r>
        <w:rPr>
          <w:sz w:val="24"/>
          <w:szCs w:val="24"/>
        </w:rPr>
        <w:t>adığı görülmüştür.</w:t>
      </w:r>
    </w:p>
    <w:p w:rsidR="0055020E" w:rsidRDefault="0055020E" w:rsidP="00596721">
      <w:pPr>
        <w:rPr>
          <w:rFonts w:ascii="Times New Roman" w:hAnsi="Times New Roman" w:cs="Times New Roman"/>
          <w:b/>
          <w:sz w:val="24"/>
          <w:szCs w:val="24"/>
        </w:rPr>
      </w:pPr>
    </w:p>
    <w:p w:rsidR="00596721" w:rsidRDefault="00596721" w:rsidP="00596721">
      <w:pPr>
        <w:rPr>
          <w:rFonts w:ascii="Times New Roman" w:hAnsi="Times New Roman" w:cs="Times New Roman"/>
          <w:b/>
          <w:sz w:val="24"/>
          <w:szCs w:val="24"/>
        </w:rPr>
      </w:pPr>
      <w:r>
        <w:rPr>
          <w:rFonts w:ascii="Times New Roman" w:hAnsi="Times New Roman" w:cs="Times New Roman"/>
          <w:b/>
          <w:sz w:val="24"/>
          <w:szCs w:val="24"/>
        </w:rPr>
        <w:t>GRAFİKTEKİ ARTIŞ VE DÜŞÜŞÜN NEDENLERİ</w:t>
      </w:r>
    </w:p>
    <w:p w:rsidR="00596721" w:rsidRDefault="00596721">
      <w:pPr>
        <w:rPr>
          <w:sz w:val="24"/>
          <w:szCs w:val="24"/>
        </w:rPr>
      </w:pPr>
      <w:r>
        <w:rPr>
          <w:sz w:val="24"/>
          <w:szCs w:val="24"/>
        </w:rPr>
        <w:t xml:space="preserve">Öğrenci ile çalışılan beceride beceri analizi basamakları takip edilerek düğme çözme ve ilikleme becerisi çalışılmıştır. Öğrencinin çok yavaşta olsa belirlenen beceride ilerleme kaydettiği görülmektedir. </w:t>
      </w:r>
    </w:p>
    <w:p w:rsidR="0055020E" w:rsidRDefault="0055020E" w:rsidP="0055020E">
      <w:pPr>
        <w:rPr>
          <w:rFonts w:ascii="Times New Roman" w:hAnsi="Times New Roman" w:cs="Times New Roman"/>
          <w:b/>
          <w:sz w:val="24"/>
          <w:szCs w:val="24"/>
        </w:rPr>
      </w:pPr>
    </w:p>
    <w:p w:rsidR="0055020E" w:rsidRDefault="0055020E" w:rsidP="0055020E">
      <w:pPr>
        <w:rPr>
          <w:rFonts w:ascii="Times New Roman" w:hAnsi="Times New Roman" w:cs="Times New Roman"/>
          <w:b/>
          <w:sz w:val="24"/>
          <w:szCs w:val="24"/>
        </w:rPr>
      </w:pPr>
      <w:r>
        <w:rPr>
          <w:rFonts w:ascii="Times New Roman" w:hAnsi="Times New Roman" w:cs="Times New Roman"/>
          <w:b/>
          <w:sz w:val="24"/>
          <w:szCs w:val="24"/>
        </w:rPr>
        <w:t>BECERİ PROGRAMI SONUCU</w:t>
      </w:r>
    </w:p>
    <w:p w:rsidR="0055020E" w:rsidRDefault="0055020E">
      <w:pPr>
        <w:rPr>
          <w:sz w:val="24"/>
          <w:szCs w:val="24"/>
        </w:rPr>
      </w:pPr>
      <w:r>
        <w:rPr>
          <w:sz w:val="24"/>
          <w:szCs w:val="24"/>
        </w:rPr>
        <w:t xml:space="preserve">Beceri öğretim programında belirlenen hedef beceri bağımsız olarak gerçekleşmemesine karşın öğrenci beceride ilerleme kaydetmiştir. Yavaş ilerleyişin sebebinin öğretimde kullanılan düğmelerin boyutu ve şeklinde yapılan uyarlamalar olabileceği düşünülmektedir. </w:t>
      </w:r>
    </w:p>
    <w:p w:rsidR="0055020E" w:rsidRDefault="0055020E" w:rsidP="0055020E">
      <w:pPr>
        <w:rPr>
          <w:rFonts w:ascii="Times New Roman" w:hAnsi="Times New Roman" w:cs="Times New Roman"/>
          <w:b/>
          <w:sz w:val="24"/>
          <w:szCs w:val="24"/>
        </w:rPr>
      </w:pPr>
    </w:p>
    <w:p w:rsidR="0055020E" w:rsidRDefault="0055020E" w:rsidP="0055020E">
      <w:pPr>
        <w:rPr>
          <w:rFonts w:ascii="Times New Roman" w:hAnsi="Times New Roman" w:cs="Times New Roman"/>
          <w:b/>
          <w:sz w:val="24"/>
          <w:szCs w:val="24"/>
        </w:rPr>
      </w:pPr>
      <w:r>
        <w:rPr>
          <w:rFonts w:ascii="Times New Roman" w:hAnsi="Times New Roman" w:cs="Times New Roman"/>
          <w:b/>
          <w:sz w:val="24"/>
          <w:szCs w:val="24"/>
        </w:rPr>
        <w:t>SINIF ÖĞRETMENİNE ÖNERİLER</w:t>
      </w:r>
    </w:p>
    <w:p w:rsidR="0055020E" w:rsidRDefault="0055020E">
      <w:pPr>
        <w:rPr>
          <w:sz w:val="24"/>
          <w:szCs w:val="24"/>
        </w:rPr>
      </w:pPr>
      <w:r>
        <w:rPr>
          <w:sz w:val="24"/>
          <w:szCs w:val="24"/>
        </w:rPr>
        <w:t>Çalışılan beceride öğretmen bir sonraki dönem de belirlenen zamanlarda çalışmaya devam ederek beceri analizi basamakları tamamlanana kadar uygulamanın devam ettirilmesi önerilmektedir.</w:t>
      </w:r>
    </w:p>
    <w:p w:rsidR="0055020E" w:rsidRDefault="0055020E" w:rsidP="0055020E">
      <w:pPr>
        <w:rPr>
          <w:rFonts w:ascii="Times New Roman" w:hAnsi="Times New Roman" w:cs="Times New Roman"/>
          <w:b/>
          <w:sz w:val="24"/>
          <w:szCs w:val="24"/>
        </w:rPr>
      </w:pPr>
      <w:r>
        <w:rPr>
          <w:rFonts w:ascii="Times New Roman" w:hAnsi="Times New Roman" w:cs="Times New Roman"/>
          <w:b/>
          <w:sz w:val="24"/>
          <w:szCs w:val="24"/>
        </w:rPr>
        <w:t>UYGULAMA ÖĞRENCİSİNE ÖNERİLER</w:t>
      </w:r>
    </w:p>
    <w:p w:rsidR="0055020E" w:rsidRDefault="0055020E">
      <w:pPr>
        <w:rPr>
          <w:sz w:val="24"/>
          <w:szCs w:val="24"/>
        </w:rPr>
      </w:pPr>
      <w:r>
        <w:rPr>
          <w:sz w:val="24"/>
          <w:szCs w:val="24"/>
        </w:rPr>
        <w:t xml:space="preserve">Hedeflenen beceri ile bir sonraki dönem çalışılmaya devam edilecekse öğrencinin dikkatini beceride odaklamak amacıyla ortam olarak okul koridoru değil farklı bir </w:t>
      </w:r>
      <w:proofErr w:type="gramStart"/>
      <w:r>
        <w:rPr>
          <w:sz w:val="24"/>
          <w:szCs w:val="24"/>
        </w:rPr>
        <w:t>mekan</w:t>
      </w:r>
      <w:proofErr w:type="gramEnd"/>
      <w:r>
        <w:rPr>
          <w:sz w:val="24"/>
          <w:szCs w:val="24"/>
        </w:rPr>
        <w:t xml:space="preserve"> seçilmesi önerilmektedir. </w:t>
      </w:r>
    </w:p>
    <w:p w:rsidR="0055020E" w:rsidRDefault="0055020E" w:rsidP="0055020E">
      <w:pPr>
        <w:rPr>
          <w:rFonts w:ascii="Times New Roman" w:hAnsi="Times New Roman" w:cs="Times New Roman"/>
          <w:b/>
          <w:sz w:val="24"/>
          <w:szCs w:val="24"/>
        </w:rPr>
      </w:pPr>
      <w:r>
        <w:rPr>
          <w:rFonts w:ascii="Times New Roman" w:hAnsi="Times New Roman" w:cs="Times New Roman"/>
          <w:b/>
          <w:sz w:val="24"/>
          <w:szCs w:val="24"/>
        </w:rPr>
        <w:t>AİLEYE ÖNERİLER</w:t>
      </w:r>
    </w:p>
    <w:p w:rsidR="0055020E" w:rsidRPr="00596721" w:rsidRDefault="0055020E">
      <w:pPr>
        <w:rPr>
          <w:sz w:val="24"/>
          <w:szCs w:val="24"/>
        </w:rPr>
      </w:pPr>
      <w:r>
        <w:rPr>
          <w:sz w:val="24"/>
          <w:szCs w:val="24"/>
        </w:rPr>
        <w:t>Öğrencinin beceriyi gerçekleştirebilmesi için aile de doğal fırsatlar yaratarak öğretmen ile koordineli şekilde beceriyi çalışabilir. Ailenin beceriye destek vermesi öğrencinin beceriyi genellemesini( ortam, kişi ve kullanılan kıyafet) kolaylaştıracak, öğretmenin beceri için ayırdığı zaman azalarak farklı öğretimlere daha fazla vakit ayırmasını sağlayacaktır.</w:t>
      </w:r>
      <w:bookmarkStart w:id="0" w:name="_GoBack"/>
      <w:bookmarkEnd w:id="0"/>
    </w:p>
    <w:sectPr w:rsidR="0055020E" w:rsidRPr="005967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3AE"/>
    <w:rsid w:val="0055020E"/>
    <w:rsid w:val="00596721"/>
    <w:rsid w:val="00AD13AE"/>
    <w:rsid w:val="00D775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D13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13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D13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13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8528">
      <w:bodyDiv w:val="1"/>
      <w:marLeft w:val="0"/>
      <w:marRight w:val="0"/>
      <w:marTop w:val="0"/>
      <w:marBottom w:val="0"/>
      <w:divBdr>
        <w:top w:val="none" w:sz="0" w:space="0" w:color="auto"/>
        <w:left w:val="none" w:sz="0" w:space="0" w:color="auto"/>
        <w:bottom w:val="none" w:sz="0" w:space="0" w:color="auto"/>
        <w:right w:val="none" w:sz="0" w:space="0" w:color="auto"/>
      </w:divBdr>
    </w:div>
    <w:div w:id="250357690">
      <w:bodyDiv w:val="1"/>
      <w:marLeft w:val="0"/>
      <w:marRight w:val="0"/>
      <w:marTop w:val="0"/>
      <w:marBottom w:val="0"/>
      <w:divBdr>
        <w:top w:val="none" w:sz="0" w:space="0" w:color="auto"/>
        <w:left w:val="none" w:sz="0" w:space="0" w:color="auto"/>
        <w:bottom w:val="none" w:sz="0" w:space="0" w:color="auto"/>
        <w:right w:val="none" w:sz="0" w:space="0" w:color="auto"/>
      </w:divBdr>
    </w:div>
    <w:div w:id="1325940323">
      <w:bodyDiv w:val="1"/>
      <w:marLeft w:val="0"/>
      <w:marRight w:val="0"/>
      <w:marTop w:val="0"/>
      <w:marBottom w:val="0"/>
      <w:divBdr>
        <w:top w:val="none" w:sz="0" w:space="0" w:color="auto"/>
        <w:left w:val="none" w:sz="0" w:space="0" w:color="auto"/>
        <w:bottom w:val="none" w:sz="0" w:space="0" w:color="auto"/>
        <w:right w:val="none" w:sz="0" w:space="0" w:color="auto"/>
      </w:divBdr>
    </w:div>
    <w:div w:id="1375933873">
      <w:bodyDiv w:val="1"/>
      <w:marLeft w:val="0"/>
      <w:marRight w:val="0"/>
      <w:marTop w:val="0"/>
      <w:marBottom w:val="0"/>
      <w:divBdr>
        <w:top w:val="none" w:sz="0" w:space="0" w:color="auto"/>
        <w:left w:val="none" w:sz="0" w:space="0" w:color="auto"/>
        <w:bottom w:val="none" w:sz="0" w:space="0" w:color="auto"/>
        <w:right w:val="none" w:sz="0" w:space="0" w:color="auto"/>
      </w:divBdr>
    </w:div>
    <w:div w:id="159608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Kitap1"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Kitap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tr-TR"/>
              <a:t>Alihan'ın Düğme</a:t>
            </a:r>
            <a:r>
              <a:rPr lang="tr-TR" baseline="0"/>
              <a:t> Çözme Becerisi Grafiği</a:t>
            </a:r>
            <a:endParaRPr lang="tr-TR"/>
          </a:p>
        </c:rich>
      </c:tx>
      <c:overlay val="0"/>
    </c:title>
    <c:autoTitleDeleted val="0"/>
    <c:plotArea>
      <c:layout/>
      <c:lineChart>
        <c:grouping val="standard"/>
        <c:varyColors val="0"/>
        <c:ser>
          <c:idx val="1"/>
          <c:order val="0"/>
          <c:dPt>
            <c:idx val="3"/>
            <c:bubble3D val="0"/>
            <c:spPr>
              <a:ln>
                <a:noFill/>
              </a:ln>
            </c:spPr>
          </c:dPt>
          <c:val>
            <c:numRef>
              <c:f>Sayfa1!$B$1:$B$16</c:f>
              <c:numCache>
                <c:formatCode>General</c:formatCode>
                <c:ptCount val="16"/>
                <c:pt idx="0">
                  <c:v>0</c:v>
                </c:pt>
                <c:pt idx="1">
                  <c:v>0</c:v>
                </c:pt>
                <c:pt idx="2">
                  <c:v>0</c:v>
                </c:pt>
                <c:pt idx="3">
                  <c:v>0</c:v>
                </c:pt>
                <c:pt idx="4">
                  <c:v>0</c:v>
                </c:pt>
                <c:pt idx="5">
                  <c:v>10</c:v>
                </c:pt>
                <c:pt idx="6">
                  <c:v>10</c:v>
                </c:pt>
                <c:pt idx="7">
                  <c:v>10</c:v>
                </c:pt>
                <c:pt idx="8">
                  <c:v>10</c:v>
                </c:pt>
                <c:pt idx="9">
                  <c:v>20</c:v>
                </c:pt>
                <c:pt idx="10">
                  <c:v>20</c:v>
                </c:pt>
                <c:pt idx="11">
                  <c:v>20</c:v>
                </c:pt>
                <c:pt idx="12">
                  <c:v>20</c:v>
                </c:pt>
                <c:pt idx="13">
                  <c:v>25</c:v>
                </c:pt>
                <c:pt idx="14">
                  <c:v>25</c:v>
                </c:pt>
              </c:numCache>
            </c:numRef>
          </c:val>
          <c:smooth val="0"/>
        </c:ser>
        <c:dLbls>
          <c:showLegendKey val="0"/>
          <c:showVal val="0"/>
          <c:showCatName val="0"/>
          <c:showSerName val="0"/>
          <c:showPercent val="0"/>
          <c:showBubbleSize val="0"/>
        </c:dLbls>
        <c:marker val="1"/>
        <c:smooth val="0"/>
        <c:axId val="42352000"/>
        <c:axId val="79821056"/>
      </c:lineChart>
      <c:catAx>
        <c:axId val="42352000"/>
        <c:scaling>
          <c:orientation val="minMax"/>
        </c:scaling>
        <c:delete val="0"/>
        <c:axPos val="b"/>
        <c:title>
          <c:tx>
            <c:rich>
              <a:bodyPr/>
              <a:lstStyle/>
              <a:p>
                <a:pPr>
                  <a:defRPr/>
                </a:pPr>
                <a:r>
                  <a:rPr lang="tr-TR"/>
                  <a:t>Oturumlar</a:t>
                </a:r>
              </a:p>
            </c:rich>
          </c:tx>
          <c:overlay val="0"/>
        </c:title>
        <c:majorTickMark val="out"/>
        <c:minorTickMark val="none"/>
        <c:tickLblPos val="nextTo"/>
        <c:crossAx val="79821056"/>
        <c:crosses val="autoZero"/>
        <c:auto val="1"/>
        <c:lblAlgn val="ctr"/>
        <c:lblOffset val="100"/>
        <c:noMultiLvlLbl val="0"/>
      </c:catAx>
      <c:valAx>
        <c:axId val="79821056"/>
        <c:scaling>
          <c:orientation val="minMax"/>
        </c:scaling>
        <c:delete val="0"/>
        <c:axPos val="l"/>
        <c:title>
          <c:tx>
            <c:rich>
              <a:bodyPr rot="-5400000" vert="horz"/>
              <a:lstStyle/>
              <a:p>
                <a:pPr>
                  <a:defRPr/>
                </a:pPr>
                <a:r>
                  <a:rPr lang="tr-TR"/>
                  <a:t>Doğru</a:t>
                </a:r>
                <a:r>
                  <a:rPr lang="tr-TR" baseline="0"/>
                  <a:t> tepki yüzdesi</a:t>
                </a:r>
                <a:endParaRPr lang="tr-TR"/>
              </a:p>
            </c:rich>
          </c:tx>
          <c:overlay val="0"/>
        </c:title>
        <c:numFmt formatCode="0" sourceLinked="0"/>
        <c:majorTickMark val="out"/>
        <c:minorTickMark val="none"/>
        <c:tickLblPos val="nextTo"/>
        <c:crossAx val="42352000"/>
        <c:crosses val="autoZero"/>
        <c:crossBetween val="between"/>
      </c:valAx>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tr-TR"/>
              <a:t>Alihan'ın Düğme</a:t>
            </a:r>
            <a:r>
              <a:rPr lang="tr-TR" baseline="0"/>
              <a:t> İlikleme Becerisi Grafiği</a:t>
            </a:r>
            <a:endParaRPr lang="tr-TR"/>
          </a:p>
        </c:rich>
      </c:tx>
      <c:overlay val="0"/>
    </c:title>
    <c:autoTitleDeleted val="0"/>
    <c:plotArea>
      <c:layout/>
      <c:lineChart>
        <c:grouping val="standard"/>
        <c:varyColors val="0"/>
        <c:ser>
          <c:idx val="1"/>
          <c:order val="0"/>
          <c:dPt>
            <c:idx val="3"/>
            <c:bubble3D val="0"/>
            <c:spPr>
              <a:ln>
                <a:noFill/>
              </a:ln>
            </c:spPr>
          </c:dPt>
          <c:val>
            <c:numRef>
              <c:f>Sayfa1!$B$1:$B$16</c:f>
              <c:numCache>
                <c:formatCode>General</c:formatCode>
                <c:ptCount val="16"/>
                <c:pt idx="0">
                  <c:v>0</c:v>
                </c:pt>
                <c:pt idx="1">
                  <c:v>0</c:v>
                </c:pt>
                <c:pt idx="2">
                  <c:v>0</c:v>
                </c:pt>
                <c:pt idx="3">
                  <c:v>0</c:v>
                </c:pt>
                <c:pt idx="4">
                  <c:v>0</c:v>
                </c:pt>
                <c:pt idx="5">
                  <c:v>10</c:v>
                </c:pt>
                <c:pt idx="6">
                  <c:v>10</c:v>
                </c:pt>
                <c:pt idx="7">
                  <c:v>10</c:v>
                </c:pt>
                <c:pt idx="8">
                  <c:v>10</c:v>
                </c:pt>
                <c:pt idx="9">
                  <c:v>20</c:v>
                </c:pt>
                <c:pt idx="10">
                  <c:v>20</c:v>
                </c:pt>
                <c:pt idx="11">
                  <c:v>20</c:v>
                </c:pt>
                <c:pt idx="12">
                  <c:v>20</c:v>
                </c:pt>
                <c:pt idx="13">
                  <c:v>25</c:v>
                </c:pt>
                <c:pt idx="14">
                  <c:v>25</c:v>
                </c:pt>
              </c:numCache>
            </c:numRef>
          </c:val>
          <c:smooth val="0"/>
        </c:ser>
        <c:dLbls>
          <c:showLegendKey val="0"/>
          <c:showVal val="0"/>
          <c:showCatName val="0"/>
          <c:showSerName val="0"/>
          <c:showPercent val="0"/>
          <c:showBubbleSize val="0"/>
        </c:dLbls>
        <c:marker val="1"/>
        <c:smooth val="0"/>
        <c:axId val="108194048"/>
        <c:axId val="115286400"/>
      </c:lineChart>
      <c:catAx>
        <c:axId val="108194048"/>
        <c:scaling>
          <c:orientation val="minMax"/>
        </c:scaling>
        <c:delete val="0"/>
        <c:axPos val="b"/>
        <c:title>
          <c:tx>
            <c:rich>
              <a:bodyPr/>
              <a:lstStyle/>
              <a:p>
                <a:pPr>
                  <a:defRPr/>
                </a:pPr>
                <a:r>
                  <a:rPr lang="tr-TR"/>
                  <a:t>Oturumlar</a:t>
                </a:r>
              </a:p>
            </c:rich>
          </c:tx>
          <c:overlay val="0"/>
        </c:title>
        <c:majorTickMark val="out"/>
        <c:minorTickMark val="none"/>
        <c:tickLblPos val="nextTo"/>
        <c:crossAx val="115286400"/>
        <c:crosses val="autoZero"/>
        <c:auto val="1"/>
        <c:lblAlgn val="ctr"/>
        <c:lblOffset val="100"/>
        <c:noMultiLvlLbl val="0"/>
      </c:catAx>
      <c:valAx>
        <c:axId val="115286400"/>
        <c:scaling>
          <c:orientation val="minMax"/>
        </c:scaling>
        <c:delete val="0"/>
        <c:axPos val="l"/>
        <c:title>
          <c:tx>
            <c:rich>
              <a:bodyPr rot="-5400000" vert="horz"/>
              <a:lstStyle/>
              <a:p>
                <a:pPr>
                  <a:defRPr/>
                </a:pPr>
                <a:r>
                  <a:rPr lang="tr-TR"/>
                  <a:t>Doğru</a:t>
                </a:r>
                <a:r>
                  <a:rPr lang="tr-TR" baseline="0"/>
                  <a:t> tepki yüzdesi</a:t>
                </a:r>
                <a:endParaRPr lang="tr-TR"/>
              </a:p>
            </c:rich>
          </c:tx>
          <c:overlay val="0"/>
        </c:title>
        <c:numFmt formatCode="0" sourceLinked="0"/>
        <c:majorTickMark val="out"/>
        <c:minorTickMark val="none"/>
        <c:tickLblPos val="nextTo"/>
        <c:crossAx val="108194048"/>
        <c:crosses val="autoZero"/>
        <c:crossBetween val="between"/>
      </c:valAx>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0.28125</cdr:x>
      <cdr:y>0.28299</cdr:y>
    </cdr:from>
    <cdr:to>
      <cdr:x>0.28125</cdr:x>
      <cdr:y>0.78646</cdr:y>
    </cdr:to>
    <cdr:cxnSp macro="">
      <cdr:nvCxnSpPr>
        <cdr:cNvPr id="3" name="Düz Bağlayıcı 2"/>
        <cdr:cNvCxnSpPr/>
      </cdr:nvCxnSpPr>
      <cdr:spPr>
        <a:xfrm xmlns:a="http://schemas.openxmlformats.org/drawingml/2006/main">
          <a:off x="1285875" y="776288"/>
          <a:ext cx="0" cy="1381125"/>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0.28125</cdr:x>
      <cdr:y>0.28299</cdr:y>
    </cdr:from>
    <cdr:to>
      <cdr:x>0.28125</cdr:x>
      <cdr:y>0.78646</cdr:y>
    </cdr:to>
    <cdr:cxnSp macro="">
      <cdr:nvCxnSpPr>
        <cdr:cNvPr id="3" name="Düz Bağlayıcı 2"/>
        <cdr:cNvCxnSpPr/>
      </cdr:nvCxnSpPr>
      <cdr:spPr>
        <a:xfrm xmlns:a="http://schemas.openxmlformats.org/drawingml/2006/main">
          <a:off x="1285875" y="776288"/>
          <a:ext cx="0" cy="1381125"/>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262</Words>
  <Characters>1499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Toshıba</dc:creator>
  <cp:lastModifiedBy>Toshıba</cp:lastModifiedBy>
  <cp:revision>1</cp:revision>
  <dcterms:created xsi:type="dcterms:W3CDTF">2017-01-10T01:52:00Z</dcterms:created>
  <dcterms:modified xsi:type="dcterms:W3CDTF">2017-01-10T02:31:00Z</dcterms:modified>
</cp:coreProperties>
</file>